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3706" w:rsidRPr="007015BF" w:rsidRDefault="007015BF">
      <w:pPr>
        <w:spacing w:after="280"/>
        <w:jc w:val="both"/>
        <w:rPr>
          <w:rFonts w:ascii="Arial" w:eastAsia="Arial" w:hAnsi="Arial" w:cs="Arial"/>
          <w:b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Atelier de formation sur l’analyse des entreprises d’économie sociale</w:t>
      </w:r>
    </w:p>
    <w:p w14:paraId="00000002" w14:textId="77777777" w:rsidR="00DB3706" w:rsidRPr="007015BF" w:rsidRDefault="007015BF">
      <w:pPr>
        <w:spacing w:after="280"/>
        <w:jc w:val="both"/>
        <w:rPr>
          <w:rFonts w:ascii="Arial" w:eastAsia="Arial" w:hAnsi="Arial" w:cs="Arial"/>
          <w:b/>
          <w:color w:val="545554"/>
          <w:sz w:val="24"/>
          <w:szCs w:val="24"/>
        </w:rPr>
      </w:pPr>
      <w:r w:rsidRPr="007015BF">
        <w:rPr>
          <w:rFonts w:ascii="Arial" w:eastAsia="Arial" w:hAnsi="Arial" w:cs="Arial"/>
          <w:i/>
          <w:color w:val="545554"/>
          <w:sz w:val="24"/>
          <w:szCs w:val="24"/>
        </w:rPr>
        <w:t xml:space="preserve">Offert par Pierre Charette, formateur et Lolita </w:t>
      </w:r>
      <w:proofErr w:type="spellStart"/>
      <w:r w:rsidRPr="007015BF">
        <w:rPr>
          <w:rFonts w:ascii="Arial" w:eastAsia="Arial" w:hAnsi="Arial" w:cs="Arial"/>
          <w:i/>
          <w:color w:val="545554"/>
          <w:sz w:val="24"/>
          <w:szCs w:val="24"/>
        </w:rPr>
        <w:t>Toche</w:t>
      </w:r>
      <w:proofErr w:type="spellEnd"/>
      <w:r w:rsidRPr="007015BF">
        <w:rPr>
          <w:rFonts w:ascii="Arial" w:eastAsia="Arial" w:hAnsi="Arial" w:cs="Arial"/>
          <w:i/>
          <w:color w:val="545554"/>
          <w:sz w:val="24"/>
          <w:szCs w:val="24"/>
        </w:rPr>
        <w:t xml:space="preserve">, analyste au suivi financier au </w:t>
      </w:r>
      <w:hyperlink r:id="rId7">
        <w:r w:rsidRPr="007015BF"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Réseau d’investissement social du Québec</w:t>
        </w:r>
      </w:hyperlink>
      <w:r w:rsidRPr="007015BF">
        <w:rPr>
          <w:rFonts w:ascii="Arial" w:eastAsia="Arial" w:hAnsi="Arial" w:cs="Arial"/>
          <w:i/>
          <w:color w:val="545554"/>
          <w:sz w:val="24"/>
          <w:szCs w:val="24"/>
        </w:rPr>
        <w:t>.</w:t>
      </w:r>
    </w:p>
    <w:p w14:paraId="00000003" w14:textId="77777777" w:rsidR="00DB3706" w:rsidRPr="007015BF" w:rsidRDefault="00701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>Reposant sur une méthode d’analyse développée par les experts de la finance solidaire du Québec, cet atelier de formation vous permettra </w:t>
      </w: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d’approfondir l’évaluation de l’ensemble des éléments distinctifs d’une entreprise collective.</w:t>
      </w:r>
    </w:p>
    <w:p w14:paraId="00000004" w14:textId="77777777" w:rsidR="00DB3706" w:rsidRPr="007015BF" w:rsidRDefault="00701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Grâce à un </w:t>
      </w: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contenu concret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> appuyé par des </w:t>
      </w: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exercices réalistes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> et des </w:t>
      </w: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outils pratiques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>, vous serez en mesure d'appliquer la théorie à la pratique de vos fonctions pour mieux analyser et accompagner les entreprises dans leur développement et leur financement.</w:t>
      </w:r>
    </w:p>
    <w:p w14:paraId="00000005" w14:textId="77777777" w:rsidR="00DB3706" w:rsidRPr="007015BF" w:rsidRDefault="00DB3706">
      <w:pPr>
        <w:jc w:val="both"/>
        <w:rPr>
          <w:rFonts w:ascii="Arial" w:eastAsia="Arial" w:hAnsi="Arial" w:cs="Arial"/>
          <w:color w:val="545554"/>
          <w:sz w:val="24"/>
          <w:szCs w:val="24"/>
        </w:rPr>
      </w:pPr>
    </w:p>
    <w:p w14:paraId="00000006" w14:textId="77777777" w:rsidR="00DB3706" w:rsidRPr="007015BF" w:rsidRDefault="007015BF">
      <w:pPr>
        <w:jc w:val="both"/>
        <w:rPr>
          <w:rFonts w:ascii="Arial" w:eastAsia="Arial" w:hAnsi="Arial" w:cs="Arial"/>
          <w:b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Le contenu</w:t>
      </w:r>
    </w:p>
    <w:p w14:paraId="00000007" w14:textId="784C1B49" w:rsidR="00DB3706" w:rsidRPr="007015BF" w:rsidRDefault="007015BF">
      <w:pPr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L’atelier est basé sur les concepts développés dans le </w:t>
      </w:r>
      <w:hyperlink r:id="rId8">
        <w:r w:rsidRPr="007015BF">
          <w:rPr>
            <w:rFonts w:ascii="Arial" w:eastAsia="Arial" w:hAnsi="Arial" w:cs="Arial"/>
            <w:color w:val="0563C1"/>
            <w:sz w:val="24"/>
            <w:szCs w:val="24"/>
            <w:u w:val="single"/>
          </w:rPr>
          <w:t>Guide d’analyse des entreprises d’économie sociale</w:t>
        </w:r>
      </w:hyperlink>
      <w:r w:rsidRPr="007015BF">
        <w:rPr>
          <w:rFonts w:ascii="Arial" w:eastAsia="Arial" w:hAnsi="Arial" w:cs="Arial"/>
          <w:b/>
          <w:color w:val="545554"/>
          <w:sz w:val="24"/>
          <w:szCs w:val="24"/>
        </w:rPr>
        <w:t xml:space="preserve"> 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>produit par Cap Finance</w:t>
      </w:r>
      <w:r w:rsidRPr="007015BF">
        <w:rPr>
          <w:sz w:val="28"/>
          <w:szCs w:val="28"/>
          <w:vertAlign w:val="superscript"/>
        </w:rPr>
        <w:footnoteReference w:id="1"/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. </w:t>
      </w:r>
      <w:r>
        <w:rPr>
          <w:rFonts w:ascii="Arial" w:eastAsia="Arial" w:hAnsi="Arial" w:cs="Arial"/>
          <w:color w:val="545554"/>
          <w:sz w:val="24"/>
          <w:szCs w:val="24"/>
        </w:rPr>
        <w:t>S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ont présentés </w:t>
      </w:r>
      <w:r>
        <w:rPr>
          <w:rFonts w:ascii="Arial" w:eastAsia="Arial" w:hAnsi="Arial" w:cs="Arial"/>
          <w:color w:val="545554"/>
          <w:sz w:val="24"/>
          <w:szCs w:val="24"/>
        </w:rPr>
        <w:t xml:space="preserve">dans l’atelier 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>les aspects sociaux, opérationnels et financiers qui distinguent l’entreprise collective ainsi que les enjeux liés à une décision de financement :</w:t>
      </w:r>
    </w:p>
    <w:p w14:paraId="00000008" w14:textId="6E740759" w:rsidR="00DB3706" w:rsidRPr="007015BF" w:rsidRDefault="007015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Concepts et caractéristiques de l’économie sociale 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>: structures juridiques, principes, règles de fonctionnement et appartenance à l’économie sociale</w:t>
      </w:r>
      <w:r w:rsidR="00FF6AE2">
        <w:rPr>
          <w:rFonts w:ascii="Arial" w:eastAsia="Arial" w:hAnsi="Arial" w:cs="Arial"/>
          <w:color w:val="545554"/>
          <w:sz w:val="24"/>
          <w:szCs w:val="24"/>
        </w:rPr>
        <w:t xml:space="preserve"> ;</w:t>
      </w:r>
    </w:p>
    <w:p w14:paraId="00000009" w14:textId="744AE68D" w:rsidR="00DB3706" w:rsidRPr="007015BF" w:rsidRDefault="007015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Analyse des entreprises d’économie sociale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 : sous l’angle de l’association et de l’entreprise </w:t>
      </w:r>
      <w:r w:rsidR="00FF6AE2">
        <w:rPr>
          <w:rFonts w:ascii="Arial" w:eastAsia="Arial" w:hAnsi="Arial" w:cs="Arial"/>
          <w:color w:val="545554"/>
          <w:sz w:val="24"/>
          <w:szCs w:val="24"/>
        </w:rPr>
        <w:t>;</w:t>
      </w:r>
    </w:p>
    <w:p w14:paraId="0000000A" w14:textId="787BADEC" w:rsidR="00DB3706" w:rsidRPr="007015BF" w:rsidRDefault="007015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Analyse financière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 : reclassements et analyse des états financiers </w:t>
      </w:r>
      <w:r w:rsidR="00FF6AE2">
        <w:rPr>
          <w:rFonts w:ascii="Arial" w:eastAsia="Arial" w:hAnsi="Arial" w:cs="Arial"/>
          <w:color w:val="545554"/>
          <w:sz w:val="24"/>
          <w:szCs w:val="24"/>
        </w:rPr>
        <w:t>;</w:t>
      </w:r>
    </w:p>
    <w:p w14:paraId="0000000B" w14:textId="15020833" w:rsidR="00DB3706" w:rsidRPr="007015BF" w:rsidRDefault="007015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Décision de financement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 : évaluation, recommandation et conditions de financement d’un projet</w:t>
      </w:r>
      <w:r w:rsidR="00FF6AE2">
        <w:rPr>
          <w:rFonts w:ascii="Arial" w:eastAsia="Arial" w:hAnsi="Arial" w:cs="Arial"/>
          <w:color w:val="545554"/>
          <w:sz w:val="24"/>
          <w:szCs w:val="24"/>
        </w:rPr>
        <w:t>.</w:t>
      </w:r>
    </w:p>
    <w:p w14:paraId="0000000C" w14:textId="77777777" w:rsidR="00DB3706" w:rsidRPr="007015BF" w:rsidRDefault="007015BF">
      <w:pPr>
        <w:spacing w:before="280" w:after="280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L’approche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 </w:t>
      </w:r>
      <w:r w:rsidRPr="007015BF">
        <w:rPr>
          <w:rFonts w:ascii="Arial" w:eastAsia="Arial" w:hAnsi="Arial" w:cs="Arial"/>
          <w:color w:val="545554"/>
          <w:sz w:val="24"/>
          <w:szCs w:val="24"/>
        </w:rPr>
        <w:br/>
        <w:t xml:space="preserve">Cet atelier à distance se décline en deux rencontres virtuelles (mode synchrone) et des activités préparatoires (mode asynchrone). </w:t>
      </w:r>
    </w:p>
    <w:p w14:paraId="0000000D" w14:textId="1BBB42C8" w:rsidR="00DB3706" w:rsidRPr="007015BF" w:rsidRDefault="007015BF">
      <w:pPr>
        <w:spacing w:before="280" w:after="280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L’objectif principal des activités préparatoires, réalisées individuellement, est de prendre connaissance des notions clés liées aux entreprises d’économie sociale et de s’y familiariser. </w:t>
      </w:r>
    </w:p>
    <w:p w14:paraId="0000000F" w14:textId="0F7BC503" w:rsidR="00DB3706" w:rsidRPr="002052F2" w:rsidRDefault="007015BF">
      <w:pPr>
        <w:spacing w:before="280" w:after="280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>Quant aux rencontres virtuelles</w:t>
      </w:r>
      <w:r w:rsidRPr="00027218">
        <w:rPr>
          <w:rFonts w:ascii="Arial" w:eastAsia="Arial" w:hAnsi="Arial" w:cs="Arial"/>
          <w:color w:val="545554"/>
          <w:sz w:val="24"/>
          <w:szCs w:val="24"/>
        </w:rPr>
        <w:t>, elles permettent de consolider et mettre en application les connaissances acquises dans les activités préparatoires. À</w:t>
      </w:r>
      <w:r w:rsidRPr="00C4356B">
        <w:rPr>
          <w:rFonts w:ascii="Arial" w:eastAsia="Arial" w:hAnsi="Arial" w:cs="Arial"/>
          <w:color w:val="545554"/>
          <w:sz w:val="24"/>
          <w:szCs w:val="24"/>
        </w:rPr>
        <w:t xml:space="preserve"> travers une simulation d’analyse d’un projet fictif, l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es personnes participantes pourront partager et confronter leurs compréhensions respectives des divers enjeux liés au démarrage d’une entreprise collective pour en arriver, ultimement, à une décision de financement. </w:t>
      </w:r>
      <w:r w:rsidRPr="007015BF">
        <w:rPr>
          <w:sz w:val="24"/>
          <w:szCs w:val="24"/>
        </w:rPr>
        <w:br w:type="page"/>
      </w:r>
    </w:p>
    <w:p w14:paraId="00000010" w14:textId="77777777" w:rsidR="00DB3706" w:rsidRPr="007015BF" w:rsidRDefault="007015BF">
      <w:pPr>
        <w:spacing w:before="280" w:after="280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lastRenderedPageBreak/>
        <w:t>Le format</w:t>
      </w:r>
    </w:p>
    <w:p w14:paraId="00000011" w14:textId="77777777" w:rsidR="00DB3706" w:rsidRPr="007015BF" w:rsidRDefault="007015BF">
      <w:pPr>
        <w:spacing w:before="280" w:after="280"/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>Deux rencontres virtuelles en temps réel, chacune précédée d’activités préparatoires :</w:t>
      </w:r>
    </w:p>
    <w:p w14:paraId="00000012" w14:textId="77777777" w:rsidR="00DB3706" w:rsidRPr="007015BF" w:rsidRDefault="007015BF">
      <w:pPr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Première partie </w:t>
      </w:r>
    </w:p>
    <w:p w14:paraId="00000013" w14:textId="77777777" w:rsidR="00DB3706" w:rsidRPr="007015BF" w:rsidRDefault="007015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Rencontre virtuelle le 23 mars 2023 de 13h30 à 16h 30</w:t>
      </w:r>
    </w:p>
    <w:p w14:paraId="00000014" w14:textId="7402ED0C" w:rsidR="00DB3706" w:rsidRPr="007015BF" w:rsidRDefault="007015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Activités préparatoires : </w:t>
      </w:r>
      <w:r w:rsidR="004E3165">
        <w:rPr>
          <w:rFonts w:ascii="Arial" w:eastAsia="Arial" w:hAnsi="Arial" w:cs="Arial"/>
          <w:color w:val="545554"/>
          <w:sz w:val="24"/>
          <w:szCs w:val="24"/>
        </w:rPr>
        <w:t>minimum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 3 heures</w:t>
      </w:r>
    </w:p>
    <w:p w14:paraId="00000015" w14:textId="77777777" w:rsidR="00DB3706" w:rsidRPr="007015BF" w:rsidRDefault="00DB3706">
      <w:pPr>
        <w:ind w:firstLine="708"/>
        <w:jc w:val="both"/>
        <w:rPr>
          <w:rFonts w:ascii="Arial" w:eastAsia="Arial" w:hAnsi="Arial" w:cs="Arial"/>
          <w:color w:val="545554"/>
          <w:sz w:val="24"/>
          <w:szCs w:val="24"/>
        </w:rPr>
      </w:pPr>
    </w:p>
    <w:p w14:paraId="00000016" w14:textId="77777777" w:rsidR="00DB3706" w:rsidRPr="007015BF" w:rsidRDefault="00DB3706">
      <w:pPr>
        <w:ind w:firstLine="708"/>
        <w:jc w:val="both"/>
        <w:rPr>
          <w:rFonts w:ascii="Arial" w:eastAsia="Arial" w:hAnsi="Arial" w:cs="Arial"/>
          <w:color w:val="545554"/>
          <w:sz w:val="24"/>
          <w:szCs w:val="24"/>
        </w:rPr>
      </w:pPr>
    </w:p>
    <w:p w14:paraId="00000017" w14:textId="77777777" w:rsidR="00DB3706" w:rsidRPr="007015BF" w:rsidRDefault="007015BF">
      <w:pPr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>Deuxième partie</w:t>
      </w:r>
    </w:p>
    <w:p w14:paraId="00000018" w14:textId="77777777" w:rsidR="00DB3706" w:rsidRPr="007015BF" w:rsidRDefault="00701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545554"/>
          <w:sz w:val="24"/>
          <w:szCs w:val="24"/>
        </w:rPr>
      </w:pPr>
      <w:r w:rsidRPr="007015BF">
        <w:rPr>
          <w:rFonts w:ascii="Arial" w:eastAsia="Arial" w:hAnsi="Arial" w:cs="Arial"/>
          <w:b/>
          <w:color w:val="545554"/>
          <w:sz w:val="24"/>
          <w:szCs w:val="24"/>
        </w:rPr>
        <w:t>Rencontre virtuelle le 30 mars 2023 de 13h30 à 16h 30</w:t>
      </w:r>
    </w:p>
    <w:p w14:paraId="00000019" w14:textId="33D619A6" w:rsidR="00DB3706" w:rsidRPr="007015BF" w:rsidRDefault="00701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Activités préparatoires : approximativement </w:t>
      </w:r>
      <w:r w:rsidR="004E3165">
        <w:rPr>
          <w:rFonts w:ascii="Arial" w:eastAsia="Arial" w:hAnsi="Arial" w:cs="Arial"/>
          <w:color w:val="545554"/>
          <w:sz w:val="24"/>
          <w:szCs w:val="24"/>
        </w:rPr>
        <w:t>3</w:t>
      </w:r>
      <w:r w:rsidRPr="007015BF">
        <w:rPr>
          <w:rFonts w:ascii="Arial" w:eastAsia="Arial" w:hAnsi="Arial" w:cs="Arial"/>
          <w:color w:val="545554"/>
          <w:sz w:val="24"/>
          <w:szCs w:val="24"/>
        </w:rPr>
        <w:t xml:space="preserve"> heures</w:t>
      </w:r>
    </w:p>
    <w:p w14:paraId="0000001A" w14:textId="77777777" w:rsidR="00DB3706" w:rsidRPr="007015BF" w:rsidRDefault="00DB3706">
      <w:pPr>
        <w:ind w:firstLine="708"/>
        <w:jc w:val="both"/>
        <w:rPr>
          <w:rFonts w:ascii="Arial" w:eastAsia="Arial" w:hAnsi="Arial" w:cs="Arial"/>
          <w:color w:val="545554"/>
          <w:sz w:val="24"/>
          <w:szCs w:val="24"/>
        </w:rPr>
      </w:pPr>
    </w:p>
    <w:p w14:paraId="0000001B" w14:textId="77777777" w:rsidR="00DB3706" w:rsidRPr="007015BF" w:rsidRDefault="007015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45554"/>
          <w:sz w:val="24"/>
          <w:szCs w:val="24"/>
        </w:rPr>
      </w:pPr>
      <w:r w:rsidRPr="007015BF">
        <w:rPr>
          <w:rFonts w:ascii="Arial" w:eastAsia="Arial" w:hAnsi="Arial" w:cs="Arial"/>
          <w:color w:val="545554"/>
          <w:sz w:val="24"/>
          <w:szCs w:val="24"/>
        </w:rPr>
        <w:t>Maximum 12 participants</w:t>
      </w:r>
    </w:p>
    <w:p w14:paraId="0000001D" w14:textId="25FF7605" w:rsidR="00DB3706" w:rsidRPr="001533B6" w:rsidRDefault="007015BF" w:rsidP="00153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545554"/>
          <w:sz w:val="24"/>
          <w:szCs w:val="24"/>
        </w:rPr>
      </w:pPr>
      <w:r w:rsidRPr="001533B6">
        <w:rPr>
          <w:rFonts w:ascii="Arial" w:eastAsia="Arial" w:hAnsi="Arial" w:cs="Arial"/>
          <w:color w:val="545554"/>
          <w:sz w:val="24"/>
          <w:szCs w:val="24"/>
        </w:rPr>
        <w:t>Chaque participant recevra une copie numérique (format PDF) du Guide d’analyse des entreprises d’économie sociale, 2</w:t>
      </w:r>
      <w:r w:rsidRPr="001533B6">
        <w:rPr>
          <w:rFonts w:ascii="Arial" w:eastAsia="Arial" w:hAnsi="Arial" w:cs="Arial"/>
          <w:color w:val="545554"/>
          <w:sz w:val="24"/>
          <w:szCs w:val="24"/>
          <w:vertAlign w:val="superscript"/>
        </w:rPr>
        <w:t>e</w:t>
      </w:r>
      <w:r w:rsidRPr="001533B6">
        <w:rPr>
          <w:rFonts w:ascii="Arial" w:eastAsia="Arial" w:hAnsi="Arial" w:cs="Arial"/>
          <w:color w:val="545554"/>
          <w:sz w:val="24"/>
          <w:szCs w:val="24"/>
        </w:rPr>
        <w:t xml:space="preserve"> édition</w:t>
      </w:r>
      <w:r w:rsidR="004E3165" w:rsidRPr="001533B6">
        <w:rPr>
          <w:rFonts w:ascii="Arial" w:eastAsia="Arial" w:hAnsi="Arial" w:cs="Arial"/>
          <w:color w:val="545554"/>
          <w:sz w:val="24"/>
          <w:szCs w:val="24"/>
        </w:rPr>
        <w:t>.</w:t>
      </w:r>
      <w:r w:rsidR="00BA2376" w:rsidRPr="001533B6">
        <w:rPr>
          <w:rFonts w:ascii="Arial" w:eastAsia="Arial" w:hAnsi="Arial" w:cs="Arial"/>
          <w:color w:val="545554"/>
          <w:sz w:val="24"/>
          <w:szCs w:val="24"/>
        </w:rPr>
        <w:t xml:space="preserve"> </w:t>
      </w:r>
    </w:p>
    <w:p w14:paraId="1CF3D0EE" w14:textId="77777777" w:rsidR="00FF6AE2" w:rsidRDefault="00FF6AE2">
      <w:pPr>
        <w:jc w:val="both"/>
        <w:rPr>
          <w:rFonts w:ascii="Arial" w:eastAsia="Arial" w:hAnsi="Arial" w:cs="Arial"/>
          <w:color w:val="545554"/>
          <w:sz w:val="24"/>
          <w:szCs w:val="24"/>
        </w:rPr>
      </w:pPr>
    </w:p>
    <w:sectPr w:rsidR="00FF6AE2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A623" w14:textId="77777777" w:rsidR="00502740" w:rsidRDefault="00502740">
      <w:r>
        <w:separator/>
      </w:r>
    </w:p>
  </w:endnote>
  <w:endnote w:type="continuationSeparator" w:id="0">
    <w:p w14:paraId="3EA3A2CA" w14:textId="77777777" w:rsidR="00502740" w:rsidRDefault="0050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344A" w14:textId="77777777" w:rsidR="00502740" w:rsidRDefault="00502740">
      <w:r>
        <w:separator/>
      </w:r>
    </w:p>
  </w:footnote>
  <w:footnote w:type="continuationSeparator" w:id="0">
    <w:p w14:paraId="68DD0417" w14:textId="77777777" w:rsidR="00502740" w:rsidRDefault="00502740">
      <w:r>
        <w:continuationSeparator/>
      </w:r>
    </w:p>
  </w:footnote>
  <w:footnote w:id="1">
    <w:p w14:paraId="0000001F" w14:textId="77777777" w:rsidR="00DB3706" w:rsidRDefault="007015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capfinance.ca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178"/>
    <w:multiLevelType w:val="multilevel"/>
    <w:tmpl w:val="008C77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2C1E63"/>
    <w:multiLevelType w:val="multilevel"/>
    <w:tmpl w:val="EFC288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672EEF"/>
    <w:multiLevelType w:val="multilevel"/>
    <w:tmpl w:val="A99C70D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4F79DE"/>
    <w:multiLevelType w:val="hybridMultilevel"/>
    <w:tmpl w:val="FB0EC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1A24"/>
    <w:multiLevelType w:val="multilevel"/>
    <w:tmpl w:val="FDE4DB3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06"/>
    <w:rsid w:val="00027218"/>
    <w:rsid w:val="001533B6"/>
    <w:rsid w:val="001E6975"/>
    <w:rsid w:val="002052F2"/>
    <w:rsid w:val="002A5C25"/>
    <w:rsid w:val="002B0738"/>
    <w:rsid w:val="002E085B"/>
    <w:rsid w:val="003203A9"/>
    <w:rsid w:val="00322450"/>
    <w:rsid w:val="00390170"/>
    <w:rsid w:val="0043669B"/>
    <w:rsid w:val="004447BB"/>
    <w:rsid w:val="004E3165"/>
    <w:rsid w:val="00502740"/>
    <w:rsid w:val="00535547"/>
    <w:rsid w:val="00597021"/>
    <w:rsid w:val="006048EF"/>
    <w:rsid w:val="00646805"/>
    <w:rsid w:val="006A4443"/>
    <w:rsid w:val="007015BF"/>
    <w:rsid w:val="00864789"/>
    <w:rsid w:val="00882E01"/>
    <w:rsid w:val="008F1416"/>
    <w:rsid w:val="00A77E10"/>
    <w:rsid w:val="00BA2376"/>
    <w:rsid w:val="00C40112"/>
    <w:rsid w:val="00C4356B"/>
    <w:rsid w:val="00D77E29"/>
    <w:rsid w:val="00DB3706"/>
    <w:rsid w:val="00F1662E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A57"/>
  <w15:docId w15:val="{F10C0F5F-E737-4F03-829F-545A57BB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646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73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B0738"/>
  </w:style>
  <w:style w:type="paragraph" w:styleId="Pieddepage">
    <w:name w:val="footer"/>
    <w:basedOn w:val="Normal"/>
    <w:link w:val="PieddepageCar"/>
    <w:uiPriority w:val="99"/>
    <w:unhideWhenUsed/>
    <w:rsid w:val="002B073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s-risq.qc.ca/guide-et-formation/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s-risq.q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apfinanc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2354</Characters>
  <Application>Microsoft Office Word</Application>
  <DocSecurity>0</DocSecurity>
  <Lines>19</Lines>
  <Paragraphs>5</Paragraphs>
  <ScaleCrop>false</ScaleCrop>
  <Company>FondsRISQ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POSTE209</dc:creator>
  <cp:lastModifiedBy>Dominique Dupont</cp:lastModifiedBy>
  <cp:revision>6</cp:revision>
  <dcterms:created xsi:type="dcterms:W3CDTF">2022-11-09T14:16:00Z</dcterms:created>
  <dcterms:modified xsi:type="dcterms:W3CDTF">2022-11-09T14:31:00Z</dcterms:modified>
</cp:coreProperties>
</file>